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F8" w:rsidRDefault="00B37C90" w:rsidP="008E3399">
      <w:pPr>
        <w:pStyle w:val="Titre1"/>
        <w:spacing w:before="0"/>
      </w:pPr>
      <w:r>
        <w:t>Séance « </w:t>
      </w:r>
      <w:r w:rsidR="007D5857">
        <w:t>L’alimentation médiévale</w:t>
      </w:r>
      <w:r>
        <w:t> »</w:t>
      </w:r>
    </w:p>
    <w:p w:rsidR="009F5870" w:rsidRDefault="0081500F" w:rsidP="0081500F">
      <w:pPr>
        <w:pStyle w:val="Titre2"/>
      </w:pPr>
      <w:r w:rsidRPr="0081500F">
        <w:t>Objectifs </w:t>
      </w:r>
      <w:bookmarkStart w:id="0" w:name="_GoBack"/>
      <w:bookmarkEnd w:id="0"/>
    </w:p>
    <w:p w:rsidR="007D5857" w:rsidRPr="00A55C68" w:rsidRDefault="007D5857" w:rsidP="007D5857">
      <w:r>
        <w:t>Se renseigner sur la manière de concevoir l'alimentation au Moyen-âge pour voir les pratiques alimentaires et les manières de produire évoluer.</w:t>
      </w:r>
    </w:p>
    <w:p w:rsidR="0081500F" w:rsidRPr="00522367" w:rsidRDefault="0081500F" w:rsidP="0081500F">
      <w:pPr>
        <w:pStyle w:val="Titre2"/>
      </w:pPr>
      <w:r>
        <w:t>C</w:t>
      </w:r>
      <w:r w:rsidRPr="00522367">
        <w:t>ompétenc</w:t>
      </w:r>
      <w:r>
        <w:t>es du socle commun travaillées</w:t>
      </w:r>
      <w:r w:rsidRPr="00522367">
        <w:t xml:space="preserve"> </w:t>
      </w:r>
      <w:r w:rsidRPr="0081500F">
        <w:rPr>
          <w:b w:val="0"/>
        </w:rPr>
        <w:t>(en italique les compétences principales)</w:t>
      </w:r>
    </w:p>
    <w:p w:rsidR="0081500F" w:rsidRPr="009C31D6" w:rsidRDefault="0081500F" w:rsidP="0081500F">
      <w:pPr>
        <w:rPr>
          <w:sz w:val="2"/>
        </w:rPr>
      </w:pPr>
    </w:p>
    <w:tbl>
      <w:tblPr>
        <w:tblStyle w:val="Grilledutableau"/>
        <w:tblW w:w="0" w:type="auto"/>
        <w:tblLook w:val="04A0"/>
      </w:tblPr>
      <w:tblGrid>
        <w:gridCol w:w="4503"/>
        <w:gridCol w:w="5972"/>
      </w:tblGrid>
      <w:tr w:rsidR="007D5857" w:rsidRPr="003A521B" w:rsidTr="006267AE">
        <w:trPr>
          <w:trHeight w:val="595"/>
        </w:trPr>
        <w:tc>
          <w:tcPr>
            <w:tcW w:w="4503" w:type="dxa"/>
            <w:shd w:val="clear" w:color="auto" w:fill="D9D9D9" w:themeFill="background1" w:themeFillShade="D9"/>
            <w:vAlign w:val="center"/>
          </w:tcPr>
          <w:p w:rsidR="007D5857" w:rsidRPr="007D5857" w:rsidRDefault="007D5857" w:rsidP="007D5857">
            <w:pPr>
              <w:rPr>
                <w:rFonts w:ascii="Arial" w:hAnsi="Arial" w:cs="Arial"/>
                <w:b/>
              </w:rPr>
            </w:pPr>
            <w:r w:rsidRPr="007D5857">
              <w:rPr>
                <w:b/>
                <w:bCs/>
                <w:sz w:val="20"/>
              </w:rPr>
              <w:t xml:space="preserve">Domaine 1 </w:t>
            </w:r>
            <w:r w:rsidRPr="007D5857">
              <w:rPr>
                <w:sz w:val="20"/>
              </w:rPr>
              <w:t>Les langages pour penser et communiquer</w:t>
            </w:r>
          </w:p>
        </w:tc>
        <w:tc>
          <w:tcPr>
            <w:tcW w:w="5972" w:type="dxa"/>
            <w:vAlign w:val="center"/>
          </w:tcPr>
          <w:p w:rsidR="007D5857" w:rsidRPr="007D5857" w:rsidRDefault="007D5857" w:rsidP="007D5857">
            <w:r w:rsidRPr="007D5857">
              <w:rPr>
                <w:b/>
                <w:bCs/>
                <w:iCs/>
              </w:rPr>
              <w:t>Comprendre et s'exprimer à l'oral</w:t>
            </w:r>
            <w:r w:rsidRPr="007D5857">
              <w:t> : s'exprimer de façon maîtrisée en s'adressant à un auditoire (pratique du compte-rendu de recherches documentaires)</w:t>
            </w:r>
          </w:p>
          <w:p w:rsidR="007D5857" w:rsidRPr="007D5857" w:rsidRDefault="007D5857" w:rsidP="007D5857">
            <w:r w:rsidRPr="007D5857">
              <w:rPr>
                <w:b/>
                <w:bCs/>
                <w:iCs/>
              </w:rPr>
              <w:t>Lire</w:t>
            </w:r>
            <w:r w:rsidRPr="007D5857">
              <w:t> : lire des images, des documents composites (dont numériques), et des textes non littéraires. Lire des œuvres littéraires et fréquenter des œuvres d'art</w:t>
            </w:r>
          </w:p>
          <w:p w:rsidR="007D5857" w:rsidRPr="007D5857" w:rsidRDefault="007D5857" w:rsidP="007D5857">
            <w:pPr>
              <w:rPr>
                <w:b/>
              </w:rPr>
            </w:pPr>
            <w:r w:rsidRPr="007D5857">
              <w:rPr>
                <w:b/>
              </w:rPr>
              <w:t>Pratiquer différents langages :</w:t>
            </w:r>
            <w:r w:rsidRPr="007D5857">
              <w:t xml:space="preserve"> s’approprier le lexique dans un contexte différent.</w:t>
            </w:r>
          </w:p>
        </w:tc>
      </w:tr>
      <w:tr w:rsidR="0081500F" w:rsidRPr="003A521B" w:rsidTr="006267AE">
        <w:trPr>
          <w:trHeight w:val="595"/>
        </w:trPr>
        <w:tc>
          <w:tcPr>
            <w:tcW w:w="4503" w:type="dxa"/>
            <w:shd w:val="clear" w:color="auto" w:fill="D9D9D9" w:themeFill="background1" w:themeFillShade="D9"/>
            <w:vAlign w:val="center"/>
          </w:tcPr>
          <w:p w:rsidR="0081500F" w:rsidRPr="003A521B" w:rsidRDefault="0081500F" w:rsidP="006267AE">
            <w:pPr>
              <w:jc w:val="left"/>
              <w:rPr>
                <w:rFonts w:ascii="Arial" w:hAnsi="Arial" w:cs="Arial"/>
                <w:b/>
                <w:sz w:val="20"/>
                <w:szCs w:val="20"/>
              </w:rPr>
            </w:pPr>
            <w:r w:rsidRPr="003A521B">
              <w:rPr>
                <w:rFonts w:ascii="Arial" w:hAnsi="Arial" w:cs="Arial"/>
                <w:b/>
                <w:sz w:val="20"/>
                <w:szCs w:val="20"/>
              </w:rPr>
              <w:t xml:space="preserve">Domaine 2 </w:t>
            </w:r>
            <w:r w:rsidRPr="003A521B">
              <w:rPr>
                <w:rFonts w:ascii="Arial" w:hAnsi="Arial" w:cs="Arial"/>
                <w:sz w:val="20"/>
                <w:szCs w:val="20"/>
              </w:rPr>
              <w:t>Les méthodes et outils pour apprendre</w:t>
            </w:r>
          </w:p>
        </w:tc>
        <w:tc>
          <w:tcPr>
            <w:tcW w:w="5972" w:type="dxa"/>
            <w:vAlign w:val="center"/>
          </w:tcPr>
          <w:p w:rsidR="007D5857" w:rsidRPr="007D5857" w:rsidRDefault="007D5857" w:rsidP="007D5857">
            <w:pPr>
              <w:rPr>
                <w:b/>
                <w:sz w:val="20"/>
              </w:rPr>
            </w:pPr>
            <w:r w:rsidRPr="007D5857">
              <w:rPr>
                <w:b/>
                <w:sz w:val="20"/>
              </w:rPr>
              <w:t>Rechercher et trier l'information : s'initier au travail des médias</w:t>
            </w:r>
          </w:p>
          <w:p w:rsidR="0081500F" w:rsidRPr="003A521B" w:rsidRDefault="007D5857" w:rsidP="007D5857">
            <w:r w:rsidRPr="007D5857">
              <w:rPr>
                <w:b/>
                <w:sz w:val="20"/>
              </w:rPr>
              <w:t>Analyser et comprendre un document</w:t>
            </w:r>
            <w:r w:rsidRPr="007D5857">
              <w:rPr>
                <w:i/>
                <w:sz w:val="20"/>
              </w:rPr>
              <w:t xml:space="preserve"> : </w:t>
            </w:r>
            <w:r w:rsidRPr="007D5857">
              <w:rPr>
                <w:sz w:val="20"/>
              </w:rPr>
              <w:t xml:space="preserve">utiliser des enluminures </w:t>
            </w:r>
            <w:r w:rsidRPr="007D5857">
              <w:rPr>
                <w:sz w:val="20"/>
                <w:szCs w:val="20"/>
              </w:rPr>
              <w:t>pour fixer le vocabulaire et l’utiliser dans un autre contexte. Prélever des informations dans un document iconographique</w:t>
            </w:r>
          </w:p>
        </w:tc>
      </w:tr>
      <w:tr w:rsidR="0081500F" w:rsidRPr="003A521B" w:rsidTr="006267AE">
        <w:trPr>
          <w:trHeight w:val="595"/>
        </w:trPr>
        <w:tc>
          <w:tcPr>
            <w:tcW w:w="4503" w:type="dxa"/>
            <w:shd w:val="clear" w:color="auto" w:fill="D9D9D9" w:themeFill="background1" w:themeFillShade="D9"/>
            <w:vAlign w:val="center"/>
          </w:tcPr>
          <w:p w:rsidR="0081500F" w:rsidRPr="003A521B" w:rsidRDefault="0081500F" w:rsidP="006267AE">
            <w:pPr>
              <w:jc w:val="left"/>
              <w:rPr>
                <w:rFonts w:ascii="Arial" w:hAnsi="Arial" w:cs="Arial"/>
                <w:sz w:val="20"/>
                <w:szCs w:val="20"/>
              </w:rPr>
            </w:pPr>
            <w:r w:rsidRPr="003A521B">
              <w:rPr>
                <w:rFonts w:ascii="Arial" w:hAnsi="Arial" w:cs="Arial"/>
                <w:b/>
                <w:sz w:val="20"/>
                <w:szCs w:val="20"/>
              </w:rPr>
              <w:t>Domaine 3 </w:t>
            </w:r>
            <w:r w:rsidRPr="003A521B">
              <w:rPr>
                <w:rFonts w:ascii="Arial" w:hAnsi="Arial" w:cs="Arial"/>
                <w:sz w:val="20"/>
                <w:szCs w:val="20"/>
              </w:rPr>
              <w:t xml:space="preserve"> La formation de la personne et du citoyen</w:t>
            </w:r>
          </w:p>
        </w:tc>
        <w:tc>
          <w:tcPr>
            <w:tcW w:w="5972" w:type="dxa"/>
            <w:vAlign w:val="center"/>
          </w:tcPr>
          <w:p w:rsidR="0081500F" w:rsidRPr="007D5857" w:rsidRDefault="007D5857" w:rsidP="007D5857">
            <w:pPr>
              <w:rPr>
                <w:b/>
              </w:rPr>
            </w:pPr>
            <w:r w:rsidRPr="007D5857">
              <w:rPr>
                <w:b/>
                <w:sz w:val="20"/>
              </w:rPr>
              <w:t>Exercer un esprit critique, faire preuve de réflexion et de discernement</w:t>
            </w:r>
          </w:p>
        </w:tc>
      </w:tr>
      <w:tr w:rsidR="0081500F" w:rsidRPr="003A521B" w:rsidTr="006267AE">
        <w:trPr>
          <w:trHeight w:val="595"/>
        </w:trPr>
        <w:tc>
          <w:tcPr>
            <w:tcW w:w="4503" w:type="dxa"/>
            <w:shd w:val="clear" w:color="auto" w:fill="D9D9D9" w:themeFill="background1" w:themeFillShade="D9"/>
            <w:vAlign w:val="center"/>
          </w:tcPr>
          <w:p w:rsidR="0081500F" w:rsidRPr="003A521B" w:rsidRDefault="0081500F" w:rsidP="006267AE">
            <w:pPr>
              <w:jc w:val="left"/>
              <w:rPr>
                <w:rFonts w:ascii="Arial" w:hAnsi="Arial" w:cs="Arial"/>
                <w:b/>
                <w:sz w:val="20"/>
                <w:szCs w:val="20"/>
              </w:rPr>
            </w:pPr>
            <w:r w:rsidRPr="003A521B">
              <w:rPr>
                <w:rFonts w:ascii="Arial" w:hAnsi="Arial" w:cs="Arial"/>
                <w:b/>
                <w:sz w:val="20"/>
                <w:szCs w:val="20"/>
              </w:rPr>
              <w:t xml:space="preserve">Domaine 5 </w:t>
            </w:r>
            <w:r w:rsidRPr="003A521B">
              <w:rPr>
                <w:rFonts w:ascii="Arial" w:hAnsi="Arial" w:cs="Arial"/>
                <w:sz w:val="20"/>
                <w:szCs w:val="20"/>
              </w:rPr>
              <w:t>les représentations du monde et l'activité humaine</w:t>
            </w:r>
          </w:p>
        </w:tc>
        <w:tc>
          <w:tcPr>
            <w:tcW w:w="5972" w:type="dxa"/>
            <w:vAlign w:val="center"/>
          </w:tcPr>
          <w:p w:rsidR="007D5857" w:rsidRPr="007D5857" w:rsidRDefault="007D5857" w:rsidP="007D5857">
            <w:pPr>
              <w:rPr>
                <w:sz w:val="20"/>
                <w:szCs w:val="20"/>
              </w:rPr>
            </w:pPr>
            <w:r w:rsidRPr="007D5857">
              <w:rPr>
                <w:b/>
                <w:bCs/>
                <w:sz w:val="20"/>
                <w:szCs w:val="20"/>
              </w:rPr>
              <w:t xml:space="preserve">Analyser et comprendre les organisations humaines et les représentations du monde : </w:t>
            </w:r>
            <w:r w:rsidRPr="007D5857">
              <w:rPr>
                <w:sz w:val="20"/>
                <w:szCs w:val="20"/>
              </w:rPr>
              <w:t>se référer de manière pertinente à des œuvres majeures et à des représentations du monde ; en apprécier et en caractériser les enjeux et la portée.</w:t>
            </w:r>
          </w:p>
          <w:p w:rsidR="0081500F" w:rsidRPr="007D5857" w:rsidRDefault="007D5857" w:rsidP="007D5857">
            <w:pPr>
              <w:rPr>
                <w:color w:val="7030A0"/>
              </w:rPr>
            </w:pPr>
            <w:r w:rsidRPr="007D5857">
              <w:rPr>
                <w:b/>
                <w:i/>
                <w:sz w:val="20"/>
                <w:szCs w:val="20"/>
              </w:rPr>
              <w:t>Se repérer dans le temps </w:t>
            </w:r>
            <w:r w:rsidRPr="007D5857">
              <w:rPr>
                <w:b/>
                <w:sz w:val="20"/>
                <w:szCs w:val="20"/>
              </w:rPr>
              <w:t>:</w:t>
            </w:r>
            <w:r w:rsidRPr="007D5857">
              <w:rPr>
                <w:sz w:val="20"/>
                <w:szCs w:val="20"/>
              </w:rPr>
              <w:t xml:space="preserve"> concevoir les étapes des évolutions techniques permettant un meilleur rendement agricole. </w:t>
            </w:r>
          </w:p>
        </w:tc>
      </w:tr>
    </w:tbl>
    <w:p w:rsidR="0081500F" w:rsidRPr="00522367" w:rsidRDefault="0081500F" w:rsidP="0081500F">
      <w:pPr>
        <w:pStyle w:val="Titre2"/>
        <w:rPr>
          <w:sz w:val="22"/>
          <w:szCs w:val="22"/>
        </w:rPr>
      </w:pPr>
      <w:r w:rsidRPr="00522367">
        <w:t>Programmes (BO du 24/12/2015) </w:t>
      </w:r>
    </w:p>
    <w:tbl>
      <w:tblPr>
        <w:tblStyle w:val="Grilledutableau"/>
        <w:tblW w:w="0" w:type="auto"/>
        <w:tblLook w:val="04A0"/>
      </w:tblPr>
      <w:tblGrid>
        <w:gridCol w:w="1583"/>
        <w:gridCol w:w="8892"/>
      </w:tblGrid>
      <w:tr w:rsidR="007D5857" w:rsidRPr="004530B2" w:rsidTr="00247FA8">
        <w:trPr>
          <w:trHeight w:val="290"/>
        </w:trPr>
        <w:tc>
          <w:tcPr>
            <w:tcW w:w="1583" w:type="dxa"/>
            <w:shd w:val="clear" w:color="auto" w:fill="D9D9D9" w:themeFill="background1" w:themeFillShade="D9"/>
            <w:vAlign w:val="center"/>
          </w:tcPr>
          <w:p w:rsidR="007D5857" w:rsidRPr="004530B2" w:rsidRDefault="007D5857" w:rsidP="006C51DC">
            <w:pPr>
              <w:jc w:val="center"/>
              <w:rPr>
                <w:rFonts w:cstheme="minorHAnsi"/>
                <w:b/>
                <w:sz w:val="20"/>
                <w:szCs w:val="20"/>
              </w:rPr>
            </w:pPr>
            <w:r w:rsidRPr="004530B2">
              <w:rPr>
                <w:rFonts w:cstheme="minorHAnsi"/>
                <w:b/>
                <w:sz w:val="20"/>
                <w:szCs w:val="20"/>
              </w:rPr>
              <w:t>HG</w:t>
            </w:r>
          </w:p>
        </w:tc>
        <w:tc>
          <w:tcPr>
            <w:tcW w:w="8892" w:type="dxa"/>
          </w:tcPr>
          <w:p w:rsidR="007D5857" w:rsidRPr="007D5857" w:rsidRDefault="007D5857" w:rsidP="007D5857">
            <w:r w:rsidRPr="007D5857">
              <w:rPr>
                <w:sz w:val="20"/>
              </w:rPr>
              <w:t xml:space="preserve">Histoire, Thème 2 « Société, Eglise et pouvoir politique dans l’Occident féodal (XIe-XVe siècles) », sous-thème : « l’ordre seigneurial : la formation et la domination des campagnes. </w:t>
            </w:r>
          </w:p>
        </w:tc>
      </w:tr>
      <w:tr w:rsidR="007D5857" w:rsidRPr="004530B2" w:rsidTr="006C51DC">
        <w:tc>
          <w:tcPr>
            <w:tcW w:w="1583" w:type="dxa"/>
            <w:shd w:val="clear" w:color="auto" w:fill="D9D9D9" w:themeFill="background1" w:themeFillShade="D9"/>
            <w:vAlign w:val="center"/>
          </w:tcPr>
          <w:p w:rsidR="007D5857" w:rsidRPr="004530B2" w:rsidRDefault="007D5857" w:rsidP="007D5857">
            <w:pPr>
              <w:jc w:val="center"/>
              <w:rPr>
                <w:rFonts w:cstheme="minorHAnsi"/>
                <w:b/>
                <w:sz w:val="20"/>
                <w:szCs w:val="20"/>
              </w:rPr>
            </w:pPr>
            <w:r>
              <w:rPr>
                <w:rFonts w:cstheme="minorHAnsi"/>
                <w:b/>
                <w:sz w:val="20"/>
                <w:szCs w:val="20"/>
              </w:rPr>
              <w:t>Français</w:t>
            </w:r>
          </w:p>
        </w:tc>
        <w:tc>
          <w:tcPr>
            <w:tcW w:w="8892" w:type="dxa"/>
          </w:tcPr>
          <w:p w:rsidR="007D5857" w:rsidRPr="007D5857" w:rsidRDefault="007D5857" w:rsidP="007D5857">
            <w:pPr>
              <w:rPr>
                <w:sz w:val="20"/>
              </w:rPr>
            </w:pPr>
            <w:r w:rsidRPr="007D5857">
              <w:rPr>
                <w:sz w:val="20"/>
              </w:rPr>
              <w:t>Que</w:t>
            </w:r>
            <w:r w:rsidRPr="007D5857">
              <w:rPr>
                <w:sz w:val="20"/>
                <w:shd w:val="clear" w:color="auto" w:fill="FFFFFF"/>
              </w:rPr>
              <w:t>stionnement complémentaire : « l'être humain est-il maître de la nature ? ». On peut étudier :</w:t>
            </w:r>
          </w:p>
          <w:p w:rsidR="007D5857" w:rsidRPr="007D5857" w:rsidRDefault="007D5857" w:rsidP="007D5857">
            <w:pPr>
              <w:rPr>
                <w:sz w:val="20"/>
              </w:rPr>
            </w:pPr>
            <w:r w:rsidRPr="007D5857">
              <w:rPr>
                <w:color w:val="000000"/>
                <w:sz w:val="20"/>
                <w:shd w:val="clear" w:color="auto" w:fill="FFFFFF"/>
              </w:rPr>
              <w:t xml:space="preserve">en lien avec la programmation d'histoire-géographie, des descriptions réalistes ou poétiques, des enluminures, des œuvres gravées ou peintes témoignant de l’art de discipliner la nature du Moyen Age à l’époque classique, ou d’en rêver les beautés réelles ou imaginaires ; </w:t>
            </w:r>
          </w:p>
          <w:p w:rsidR="007D5857" w:rsidRPr="004530B2" w:rsidRDefault="007D5857" w:rsidP="007D5857">
            <w:pPr>
              <w:rPr>
                <w:rFonts w:cstheme="minorHAnsi"/>
              </w:rPr>
            </w:pPr>
            <w:r w:rsidRPr="007D5857">
              <w:rPr>
                <w:color w:val="000000"/>
                <w:sz w:val="20"/>
                <w:shd w:val="clear" w:color="auto" w:fill="FFFFFF"/>
              </w:rPr>
              <w:t>des récits d’anticipation, des témoignages photographiques sur l’évolution des paysages et des modes de vie.</w:t>
            </w:r>
          </w:p>
        </w:tc>
      </w:tr>
    </w:tbl>
    <w:p w:rsidR="0081500F" w:rsidRDefault="0081500F" w:rsidP="0081500F">
      <w:pPr>
        <w:pStyle w:val="Titre2"/>
      </w:pPr>
      <w:r w:rsidRPr="009C31D6">
        <w:t xml:space="preserve">Parcours </w:t>
      </w:r>
    </w:p>
    <w:tbl>
      <w:tblPr>
        <w:tblStyle w:val="Grilledutableau"/>
        <w:tblW w:w="0" w:type="auto"/>
        <w:tblLook w:val="04A0"/>
      </w:tblPr>
      <w:tblGrid>
        <w:gridCol w:w="2235"/>
        <w:gridCol w:w="8240"/>
      </w:tblGrid>
      <w:tr w:rsidR="0081500F" w:rsidRPr="003A521B" w:rsidTr="006267AE">
        <w:tc>
          <w:tcPr>
            <w:tcW w:w="2235" w:type="dxa"/>
            <w:shd w:val="clear" w:color="auto" w:fill="D9D9D9" w:themeFill="background1" w:themeFillShade="D9"/>
            <w:vAlign w:val="center"/>
          </w:tcPr>
          <w:p w:rsidR="0081500F" w:rsidRPr="003A521B" w:rsidRDefault="0081500F" w:rsidP="006267AE">
            <w:pPr>
              <w:jc w:val="left"/>
              <w:rPr>
                <w:b/>
                <w:sz w:val="20"/>
                <w:szCs w:val="20"/>
              </w:rPr>
            </w:pPr>
            <w:r w:rsidRPr="003A521B">
              <w:rPr>
                <w:rFonts w:ascii="Arial" w:hAnsi="Arial" w:cs="Arial"/>
                <w:b/>
                <w:sz w:val="20"/>
                <w:szCs w:val="20"/>
              </w:rPr>
              <w:t>Parcours citoyen </w:t>
            </w:r>
          </w:p>
        </w:tc>
        <w:tc>
          <w:tcPr>
            <w:tcW w:w="8240" w:type="dxa"/>
            <w:vAlign w:val="center"/>
          </w:tcPr>
          <w:p w:rsidR="0081500F" w:rsidRPr="00DC6A45" w:rsidRDefault="00DC6A45" w:rsidP="00DC6A45">
            <w:pPr>
              <w:rPr>
                <w:b/>
                <w:sz w:val="20"/>
              </w:rPr>
            </w:pPr>
            <w:r w:rsidRPr="00DC6A45">
              <w:rPr>
                <w:b/>
                <w:sz w:val="20"/>
              </w:rPr>
              <w:t>Education à l'environnement et au développement durable</w:t>
            </w:r>
          </w:p>
        </w:tc>
      </w:tr>
      <w:tr w:rsidR="0081500F" w:rsidRPr="003A521B" w:rsidTr="006267AE">
        <w:tc>
          <w:tcPr>
            <w:tcW w:w="2235" w:type="dxa"/>
            <w:shd w:val="clear" w:color="auto" w:fill="D9D9D9" w:themeFill="background1" w:themeFillShade="D9"/>
            <w:vAlign w:val="center"/>
          </w:tcPr>
          <w:p w:rsidR="0081500F" w:rsidRPr="003A521B" w:rsidRDefault="0081500F" w:rsidP="006267AE">
            <w:pPr>
              <w:jc w:val="left"/>
              <w:rPr>
                <w:b/>
                <w:sz w:val="20"/>
                <w:szCs w:val="20"/>
              </w:rPr>
            </w:pPr>
            <w:r w:rsidRPr="003A521B">
              <w:rPr>
                <w:rFonts w:ascii="Arial" w:hAnsi="Arial" w:cs="Arial"/>
                <w:b/>
                <w:sz w:val="20"/>
                <w:szCs w:val="20"/>
              </w:rPr>
              <w:t>Parcours avenir </w:t>
            </w:r>
          </w:p>
        </w:tc>
        <w:tc>
          <w:tcPr>
            <w:tcW w:w="8240" w:type="dxa"/>
            <w:vAlign w:val="center"/>
          </w:tcPr>
          <w:p w:rsidR="00DC6A45" w:rsidRPr="00DC6A45" w:rsidRDefault="00DC6A45" w:rsidP="00DC6A45">
            <w:pPr>
              <w:rPr>
                <w:b/>
                <w:sz w:val="20"/>
              </w:rPr>
            </w:pPr>
            <w:r w:rsidRPr="00DC6A45">
              <w:rPr>
                <w:b/>
                <w:sz w:val="20"/>
              </w:rPr>
              <w:t>Découvrir les principes de fonctionnement et la diversité du monde économique et professionnel.</w:t>
            </w:r>
          </w:p>
          <w:p w:rsidR="0081500F" w:rsidRPr="00DC6A45" w:rsidRDefault="00DC6A45" w:rsidP="00DC6A45">
            <w:pPr>
              <w:rPr>
                <w:sz w:val="20"/>
              </w:rPr>
            </w:pPr>
            <w:r w:rsidRPr="00DC6A45">
              <w:rPr>
                <w:color w:val="000000"/>
                <w:sz w:val="20"/>
              </w:rPr>
              <w:t>Il s'inscrit dans une progression disciplinaire, voire interdisciplinaire, et qu'il suscite les initiatives permettant de développer, à l'échelle d'un territoire, des projets partagés avec des partenaires extérieurs.</w:t>
            </w:r>
          </w:p>
        </w:tc>
      </w:tr>
      <w:tr w:rsidR="00DC6A45" w:rsidRPr="003A521B" w:rsidTr="003F659A">
        <w:trPr>
          <w:trHeight w:val="90"/>
        </w:trPr>
        <w:tc>
          <w:tcPr>
            <w:tcW w:w="2235" w:type="dxa"/>
            <w:shd w:val="clear" w:color="auto" w:fill="D9D9D9" w:themeFill="background1" w:themeFillShade="D9"/>
            <w:vAlign w:val="center"/>
          </w:tcPr>
          <w:p w:rsidR="00DC6A45" w:rsidRPr="003A521B" w:rsidRDefault="00DC6A45" w:rsidP="006267AE">
            <w:pPr>
              <w:jc w:val="left"/>
              <w:rPr>
                <w:b/>
                <w:sz w:val="20"/>
                <w:szCs w:val="20"/>
              </w:rPr>
            </w:pPr>
            <w:r w:rsidRPr="003A521B">
              <w:rPr>
                <w:rFonts w:ascii="Arial" w:hAnsi="Arial" w:cs="Arial"/>
                <w:b/>
                <w:sz w:val="20"/>
                <w:szCs w:val="20"/>
              </w:rPr>
              <w:t>Parcours santé </w:t>
            </w:r>
          </w:p>
        </w:tc>
        <w:tc>
          <w:tcPr>
            <w:tcW w:w="8240" w:type="dxa"/>
          </w:tcPr>
          <w:p w:rsidR="00DC6A45" w:rsidRPr="00DC6A45" w:rsidRDefault="00DC6A45" w:rsidP="00DC6A45">
            <w:pPr>
              <w:rPr>
                <w:sz w:val="20"/>
              </w:rPr>
            </w:pPr>
            <w:r w:rsidRPr="00DC6A45">
              <w:rPr>
                <w:color w:val="000000"/>
                <w:sz w:val="20"/>
              </w:rPr>
              <w:t xml:space="preserve">le parcours de santé s'inscrit dans une politique éducative globale et est adossé à la nouvelle gouvernance académique. L'objectif de ce parcours vise la réussite scolaire de tous les élèves et la </w:t>
            </w:r>
            <w:r w:rsidRPr="00DC6A45">
              <w:rPr>
                <w:b/>
                <w:color w:val="000000"/>
                <w:sz w:val="20"/>
              </w:rPr>
              <w:t>réduction des inégalités sociales</w:t>
            </w:r>
            <w:r w:rsidRPr="00DC6A45">
              <w:rPr>
                <w:color w:val="000000"/>
                <w:sz w:val="20"/>
              </w:rPr>
              <w:t xml:space="preserve">. Ce dispositif est structuré autour de trois axes : l'éducation à la santé, la </w:t>
            </w:r>
            <w:r w:rsidRPr="00DC6A45">
              <w:rPr>
                <w:b/>
                <w:color w:val="000000"/>
                <w:sz w:val="20"/>
              </w:rPr>
              <w:t>prévention et la protection de la santé</w:t>
            </w:r>
            <w:r w:rsidRPr="00DC6A45">
              <w:rPr>
                <w:color w:val="000000"/>
                <w:sz w:val="20"/>
              </w:rPr>
              <w:t xml:space="preserve">. La réflexion autour de la notion du « bien manger », de l'obésité et sous-nutrition dans le </w:t>
            </w:r>
            <w:r w:rsidRPr="00DC6A45">
              <w:rPr>
                <w:color w:val="000000"/>
                <w:sz w:val="20"/>
              </w:rPr>
              <w:lastRenderedPageBreak/>
              <w:t xml:space="preserve">monde d'aujourd'hui, conduira les élèves à </w:t>
            </w:r>
          </w:p>
          <w:p w:rsidR="00DC6A45" w:rsidRPr="00DC6A45" w:rsidRDefault="00DC6A45" w:rsidP="00DC6A45">
            <w:pPr>
              <w:rPr>
                <w:sz w:val="20"/>
              </w:rPr>
            </w:pPr>
            <w:r w:rsidRPr="00DC6A45">
              <w:rPr>
                <w:color w:val="000000"/>
                <w:sz w:val="20"/>
              </w:rPr>
              <w:t xml:space="preserve">-réfléchir à la manière dont nos ancêtres s'alimentaient pour en analyser la pertinence et remettre les pratiques saines au goût du jour, tout en les actualisant par les outils actuels. </w:t>
            </w:r>
          </w:p>
          <w:p w:rsidR="00DC6A45" w:rsidRPr="00DC6A45" w:rsidRDefault="00DC6A45" w:rsidP="00DC6A45">
            <w:pPr>
              <w:rPr>
                <w:sz w:val="20"/>
              </w:rPr>
            </w:pPr>
            <w:r w:rsidRPr="00DC6A45">
              <w:rPr>
                <w:color w:val="000000"/>
                <w:sz w:val="20"/>
              </w:rPr>
              <w:t>-planter quelques fruits/légumes « oubliés » dans le potager du collège</w:t>
            </w:r>
          </w:p>
        </w:tc>
      </w:tr>
    </w:tbl>
    <w:p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4"/>
          <w:szCs w:val="24"/>
        </w:rPr>
      </w:pPr>
      <w:r w:rsidRPr="00891048">
        <w:rPr>
          <w:b/>
          <w:sz w:val="24"/>
          <w:szCs w:val="24"/>
        </w:rPr>
        <w:lastRenderedPageBreak/>
        <w:t>Indications préliminaires pour le déroulé de la séance</w:t>
      </w:r>
    </w:p>
    <w:p w:rsidR="00DC6A45" w:rsidRDefault="00DC6A45" w:rsidP="00DC6A45">
      <w:pPr>
        <w:pStyle w:val="Titre2"/>
      </w:pPr>
      <w:r>
        <w:t>Pour ce qui sera traité en cours d’Histoire :</w:t>
      </w:r>
    </w:p>
    <w:p w:rsidR="00DC6A45" w:rsidRDefault="00DC6A45" w:rsidP="00DC6A45">
      <w:r w:rsidRPr="00DA02FE">
        <w:t xml:space="preserve">Dans </w:t>
      </w:r>
      <w:r>
        <w:t xml:space="preserve">le cadre du chapitre sur la formation et la domination des campagnes par la mise en place d’un ordre seigneurial : </w:t>
      </w:r>
    </w:p>
    <w:p w:rsidR="00DC6A45" w:rsidRDefault="00DC6A45" w:rsidP="00DC6A45">
      <w:r w:rsidRPr="00DC6A45">
        <w:rPr>
          <w:rStyle w:val="Titre3Car"/>
        </w:rPr>
        <w:t>Séance 1 :</w:t>
      </w:r>
      <w:r>
        <w:t xml:space="preserve"> Les élèves travaillent sur la miniature du mois de mars des </w:t>
      </w:r>
      <w:r w:rsidRPr="00DA02FE">
        <w:rPr>
          <w:i/>
          <w:iCs/>
        </w:rPr>
        <w:t>Très riches heures du Duc de Berry</w:t>
      </w:r>
      <w:r w:rsidRPr="00DA02FE">
        <w:t>, 1411-14</w:t>
      </w:r>
      <w:r>
        <w:t xml:space="preserve">16. L’enluminure est utilisée comme document de découverte des travaux agricoles et du système de domination par le seigneur. </w:t>
      </w:r>
    </w:p>
    <w:p w:rsidR="00DC6A45" w:rsidRDefault="00DC6A45" w:rsidP="00DC6A45">
      <w:r w:rsidRPr="00DC6A45">
        <w:rPr>
          <w:b/>
        </w:rPr>
        <w:t>Les élèves produisent un croquis de paysage guidé</w:t>
      </w:r>
      <w:r>
        <w:t xml:space="preserve"> dont la légende sera étoffée par la découverte en séance 2 (qu’est-ce qu’une seigneurie ?) des types de terres (tenures/réserves) et des types de paysans (serfs/vilains).</w:t>
      </w:r>
    </w:p>
    <w:p w:rsidR="00DC6A45" w:rsidRPr="00DC6A45" w:rsidRDefault="00DC6A45" w:rsidP="00DC6A45">
      <w:r w:rsidRPr="00DC6A45">
        <w:rPr>
          <w:rStyle w:val="Titre3Car"/>
        </w:rPr>
        <w:t>Séance 3 :</w:t>
      </w:r>
      <w:r>
        <w:t xml:space="preserve"> Prenant  la mesure des multiples impôts découlant du système productif mis en place par le seigneur (cens, taille, champart, banalités), les élèves approfondissent la production agricole permettant l’alimentation paysanne à travers trois documents : (document principal) enluminures du Rustican ou Livre des profits champêtres et ruraux, traité agricole de Pietro de Crescenzi v. 1305, (documents complémentaires) schéma de l’assolement triennal, description catastrophiste de la famine de 1033 par </w:t>
      </w:r>
      <w:r w:rsidRPr="00DC6A45">
        <w:t xml:space="preserve">Raoul Glaber. </w:t>
      </w:r>
    </w:p>
    <w:p w:rsidR="00DC6A45" w:rsidRDefault="00DC6A45" w:rsidP="00DC6A45">
      <w:r w:rsidRPr="00DC6A45">
        <w:rPr>
          <w:rStyle w:val="Titre3Car"/>
          <w:b/>
          <w:u w:val="none"/>
        </w:rPr>
        <w:t>Production des élèves </w:t>
      </w:r>
      <w:r>
        <w:t xml:space="preserve">: décrire deux vignettes au choix du </w:t>
      </w:r>
      <w:r w:rsidRPr="0083287C">
        <w:rPr>
          <w:u w:val="single"/>
        </w:rPr>
        <w:t>Rustican</w:t>
      </w:r>
      <w:r>
        <w:t xml:space="preserve"> permettant d’illustrer la contribution à l’alimentation paysanne en mobilisant le vocabulaire approprié, puis explication de l’utilisation des céréales (pain, bouillie, bière)  +vin dans l’alimentation quotidienne des paysans. </w:t>
      </w:r>
    </w:p>
    <w:p w:rsidR="00DC6A45" w:rsidRDefault="00DC6A45" w:rsidP="00DC6A45">
      <w:r w:rsidRPr="00DC6A45">
        <w:rPr>
          <w:rStyle w:val="Titre3Car"/>
        </w:rPr>
        <w:t>Support de recherche</w:t>
      </w:r>
      <w:r>
        <w:rPr>
          <w:b/>
        </w:rPr>
        <w:t> </w:t>
      </w:r>
      <w:r w:rsidRPr="00EA59DC">
        <w:t>:</w:t>
      </w:r>
      <w:r>
        <w:t xml:space="preserve"> 1) encyclopédie Vikidia : </w:t>
      </w:r>
    </w:p>
    <w:p w:rsidR="00DC6A45" w:rsidRDefault="00DC6A45" w:rsidP="00DC6A45">
      <w:hyperlink r:id="rId7" w:anchor="Le_travail_annuel_du_paysan_et_les_outils_qu.27il_utilise_pour_l.27effectuer" w:history="1">
        <w:r w:rsidRPr="00246F42">
          <w:rPr>
            <w:rStyle w:val="Lienhypertexte"/>
            <w:rFonts w:ascii="Comic Sans MS" w:hAnsi="Comic Sans MS"/>
          </w:rPr>
          <w:t>https://fr.vikidia.org/wiki/Vie_des_paysans_au_Moyen_%C3%82ge#Le_travail_annuel_du_paysan_et_les_outils_qu.27il_utilise_pour_l.27effectuer</w:t>
        </w:r>
      </w:hyperlink>
      <w:r>
        <w:t xml:space="preserve"> rubrique « travaux agricoles ». </w:t>
      </w:r>
    </w:p>
    <w:p w:rsidR="00DC6A45" w:rsidRPr="00FF00B1" w:rsidRDefault="00DC6A45" w:rsidP="00DC6A45">
      <w:pPr>
        <w:rPr>
          <w:sz w:val="20"/>
        </w:rPr>
      </w:pPr>
      <w:r w:rsidRPr="00FF00B1">
        <w:rPr>
          <w:sz w:val="20"/>
        </w:rPr>
        <w:t xml:space="preserve">2) Extraits </w:t>
      </w:r>
      <w:r w:rsidRPr="00FF00B1">
        <w:rPr>
          <w:rFonts w:cs="Arial"/>
          <w:szCs w:val="33"/>
          <w:shd w:val="clear" w:color="auto" w:fill="F2F2F2"/>
        </w:rPr>
        <w:t>documentaire d’archéologie expérimentale de la BBC, </w:t>
      </w:r>
      <w:r w:rsidRPr="00FF00B1">
        <w:rPr>
          <w:rStyle w:val="Accentuation"/>
          <w:rFonts w:ascii="Comic Sans MS" w:hAnsi="Comic Sans MS" w:cs="Arial"/>
          <w:color w:val="7030A0"/>
          <w:szCs w:val="33"/>
          <w:shd w:val="clear" w:color="auto" w:fill="F2F2F2"/>
        </w:rPr>
        <w:t xml:space="preserve">Tales of the Green </w:t>
      </w:r>
      <w:proofErr w:type="spellStart"/>
      <w:r w:rsidRPr="00FF00B1">
        <w:rPr>
          <w:rStyle w:val="Accentuation"/>
          <w:rFonts w:ascii="Comic Sans MS" w:hAnsi="Comic Sans MS" w:cs="Arial"/>
          <w:color w:val="7030A0"/>
          <w:szCs w:val="33"/>
          <w:shd w:val="clear" w:color="auto" w:fill="F2F2F2"/>
        </w:rPr>
        <w:t>Valley</w:t>
      </w:r>
      <w:proofErr w:type="spellEnd"/>
      <w:r w:rsidRPr="00FF00B1">
        <w:rPr>
          <w:rFonts w:cs="Arial"/>
          <w:szCs w:val="33"/>
          <w:shd w:val="clear" w:color="auto" w:fill="F2F2F2"/>
        </w:rPr>
        <w:t>, afin d’illustrer le calendrier agricole extrait du </w:t>
      </w:r>
      <w:r w:rsidRPr="00FF00B1">
        <w:rPr>
          <w:rStyle w:val="Accentuation"/>
          <w:rFonts w:ascii="Comic Sans MS" w:hAnsi="Comic Sans MS" w:cs="Arial"/>
          <w:color w:val="7030A0"/>
          <w:szCs w:val="33"/>
          <w:shd w:val="clear" w:color="auto" w:fill="F2F2F2"/>
        </w:rPr>
        <w:t>Rustican</w:t>
      </w:r>
      <w:r>
        <w:rPr>
          <w:rStyle w:val="Accentuation"/>
          <w:rFonts w:ascii="Comic Sans MS" w:hAnsi="Comic Sans MS" w:cs="Arial"/>
          <w:color w:val="7030A0"/>
          <w:szCs w:val="33"/>
          <w:shd w:val="clear" w:color="auto" w:fill="F2F2F2"/>
        </w:rPr>
        <w:t> </w:t>
      </w:r>
      <w:r>
        <w:rPr>
          <w:rFonts w:cs="Arial"/>
          <w:szCs w:val="33"/>
          <w:shd w:val="clear" w:color="auto" w:fill="F2F2F2"/>
        </w:rPr>
        <w:t xml:space="preserve">: construction d’une haie vive, la fumure, entretien des jardins, fenaison, moisson, labours, semailles, battage des céréales, fabrication bière, nourrir les porcs. </w:t>
      </w:r>
    </w:p>
    <w:p w:rsidR="00DC6A45" w:rsidRPr="00DA02FE" w:rsidRDefault="00DC6A45" w:rsidP="00DC6A45">
      <w:pPr>
        <w:pStyle w:val="Titre2"/>
      </w:pPr>
      <w:r>
        <w:t>Pour ce qui sera traité en cours de français :</w:t>
      </w:r>
    </w:p>
    <w:p w:rsidR="00DC6A45" w:rsidRDefault="00DC6A45" w:rsidP="00DC6A45">
      <w:r>
        <w:t xml:space="preserve">Après avoir étudié en Histoire-géographie </w:t>
      </w:r>
      <w:r w:rsidRPr="00DA02FE">
        <w:t xml:space="preserve">la production agricole pour l’alimentation paysanne  </w:t>
      </w:r>
      <w:r>
        <w:t>au Moyen-âge à travers les travaux agricoles (livre d'heures), les élèves vont creuser la question en suivant les activités suivantes :</w:t>
      </w:r>
    </w:p>
    <w:p w:rsidR="00DC6A45" w:rsidRDefault="00DC6A45" w:rsidP="00DC6A45">
      <w:r>
        <w:t>-</w:t>
      </w:r>
      <w:r>
        <w:rPr>
          <w:b/>
          <w:bCs/>
        </w:rPr>
        <w:t>lecture</w:t>
      </w:r>
      <w:r>
        <w:t xml:space="preserve"> d'un extrait du </w:t>
      </w:r>
      <w:r>
        <w:rPr>
          <w:u w:val="single"/>
        </w:rPr>
        <w:t>Roman de la rose</w:t>
      </w:r>
      <w:r>
        <w:t xml:space="preserve"> décrivant un jardin médiéval et analyse d'une enluminure</w:t>
      </w:r>
    </w:p>
    <w:p w:rsidR="00DC6A45" w:rsidRDefault="00DC6A45" w:rsidP="00DC6A45">
      <w:r>
        <w:t>-</w:t>
      </w:r>
      <w:r>
        <w:rPr>
          <w:b/>
          <w:bCs/>
        </w:rPr>
        <w:t>table ouverte</w:t>
      </w:r>
      <w:r>
        <w:t> : à votre avis, en vous fondant sur ce que vous avez déjà vu en Histoire, que mangeait-on au Moyen-âge ? Quels ingrédients n'existaient pas ? Que pouvait-on facilement/difficilement produire sur notre territoire ? A partir d'aliments apportés en classe par l'enseignant : qu'est-ce qui existait déjà au Moyen-âge ? Qu'est ce que nous ne consommons plus aujourd'hui ? (Débat classe entière puis par groupes de 4)</w:t>
      </w:r>
    </w:p>
    <w:p w:rsidR="00DC6A45" w:rsidRDefault="00DC6A45" w:rsidP="00DC6A45">
      <w:r>
        <w:t xml:space="preserve">-chaque groupe d' élèves se voit attribuer un thème précis de </w:t>
      </w:r>
      <w:r>
        <w:rPr>
          <w:b/>
          <w:bCs/>
        </w:rPr>
        <w:t>recherche sur internet</w:t>
      </w:r>
      <w:r>
        <w:t xml:space="preserve"> : les jardins médiévaux, les légumes, les sources de protéines (viande, poissons, œufs, légumineuses), les féculents (notamment usage du pain), l'organisation d'un repas « classique » dans une famille paysanne, </w:t>
      </w:r>
      <w:r>
        <w:lastRenderedPageBreak/>
        <w:t>l'organisation d'un banquet dans une famille de personnes aisées, les aliments qui n'existaient pas au Moyen-âge, les desserts, les manières de conserver les aliments, les manières de cuire les aliments. Il faudra trier les sources et présenter les sources sélectionnées, afin de faire un petit compte-rendu à la classe de ce qui a été appris au sujet du thème attribué, image à l'appui.</w:t>
      </w:r>
    </w:p>
    <w:p w:rsidR="00DC6A45" w:rsidRDefault="00DC6A45" w:rsidP="00DC6A45">
      <w:r>
        <w:rPr>
          <w:b/>
          <w:bCs/>
        </w:rPr>
        <w:t>Les groupes produisent</w:t>
      </w:r>
      <w:r>
        <w:t xml:space="preserve">, à l'appui de leur oral et à destination de la communication hors de la classe, un </w:t>
      </w:r>
      <w:r>
        <w:rPr>
          <w:b/>
          <w:bCs/>
        </w:rPr>
        <w:t>panneau explicatif</w:t>
      </w:r>
      <w:r>
        <w:t xml:space="preserve"> du principe de l'alimentation médiévale sur lequel ils ont travaillé.</w:t>
      </w:r>
    </w:p>
    <w:p w:rsidR="00C8069B" w:rsidRPr="00DC6A45" w:rsidRDefault="00DC6A45" w:rsidP="00DC6A45">
      <w:r>
        <w:t xml:space="preserve">-Chaque élève devra ensuite rédiger une </w:t>
      </w:r>
      <w:r>
        <w:rPr>
          <w:b/>
          <w:bCs/>
        </w:rPr>
        <w:t>recette médiévale</w:t>
      </w:r>
      <w:r>
        <w:t xml:space="preserve"> en respectant les principes de l'alimentation médiévale découverts en classe. </w:t>
      </w:r>
    </w:p>
    <w:p w:rsidR="00292B9A" w:rsidRDefault="00292B9A" w:rsidP="0081500F">
      <w:pPr>
        <w:pStyle w:val="Sansinterligne"/>
      </w:pPr>
    </w:p>
    <w:p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891048">
        <w:rPr>
          <w:b/>
          <w:sz w:val="24"/>
          <w:szCs w:val="24"/>
        </w:rPr>
        <w:t>Eléments pour compléter la fiche élève</w:t>
      </w:r>
    </w:p>
    <w:p w:rsidR="00DC6A45" w:rsidRPr="00824D89" w:rsidRDefault="00DC6A45" w:rsidP="00DC6A45">
      <w:r w:rsidRPr="00824D89">
        <w:t>Identification des pétales « Production » et « Consommation », coloriés sur la Marguerite de la fiche élève.</w:t>
      </w:r>
    </w:p>
    <w:p w:rsidR="00DC6A45" w:rsidRPr="00824D89" w:rsidRDefault="00DC6A45" w:rsidP="00DC6A45">
      <w:r w:rsidRPr="00824D89">
        <w:t>« A nos cerveaux » : réactualisation des connaissances apportées par l'étude de l'agriculture médiévale en histoire-géographie.</w:t>
      </w:r>
    </w:p>
    <w:p w:rsidR="008E3399" w:rsidRPr="00DC6A45" w:rsidRDefault="00DC6A45" w:rsidP="00DC6A45">
      <w:r w:rsidRPr="00824D89">
        <w:t>« Qu'avons-nous retenu</w:t>
      </w:r>
      <w:r>
        <w:t> ?</w:t>
      </w:r>
      <w:r w:rsidRPr="00824D89">
        <w:t>» : conception d'une recette médiévale qui sera affichée au restaurant scolaire et panneaux explicatifs des principes de l'alimentation médiévale</w:t>
      </w:r>
    </w:p>
    <w:p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891048">
        <w:rPr>
          <w:b/>
          <w:sz w:val="24"/>
          <w:szCs w:val="24"/>
        </w:rPr>
        <w:t>Pour aller plus loin</w:t>
      </w:r>
    </w:p>
    <w:p w:rsidR="00DC6A45" w:rsidRDefault="00DC6A45" w:rsidP="00DC6A45"/>
    <w:p w:rsidR="00DC6A45" w:rsidRPr="00DC6A45" w:rsidRDefault="00DC6A45" w:rsidP="00DC6A45">
      <w:r w:rsidRPr="00DC6A45">
        <w:rPr>
          <w:rStyle w:val="Titre3Car"/>
        </w:rPr>
        <w:t>En français :</w:t>
      </w:r>
      <w:r w:rsidRPr="00DC6A45">
        <w:t xml:space="preserve"> On peut travailler sur l'évolution des jardins, reflet de notre relation à la nature au fil du temps. Cette thématique figure au programme de Français du cycle 4 dans l'onglet « questionnement complémentaire »</w:t>
      </w:r>
    </w:p>
    <w:p w:rsidR="00DC6A45" w:rsidRPr="00DC6A45" w:rsidRDefault="00DC6A45" w:rsidP="00DC6A45">
      <w:r w:rsidRPr="00DC6A45">
        <w:rPr>
          <w:rStyle w:val="Titre3Car"/>
        </w:rPr>
        <w:t>En histoire :</w:t>
      </w:r>
      <w:r w:rsidRPr="00DC6A45">
        <w:t xml:space="preserve"> Lien</w:t>
      </w:r>
      <w:r>
        <w:t xml:space="preserve"> possible avec le projet Hortus</w:t>
      </w:r>
      <w:r w:rsidRPr="00DC6A45">
        <w:t xml:space="preserve">: Jardin médiéval organisé en 2015 lors de la fête de la Science et travail sur les plantes tinctoriales au club nature. </w:t>
      </w:r>
    </w:p>
    <w:p w:rsidR="00DC6A45" w:rsidRPr="00CB184E" w:rsidRDefault="00DC6A45" w:rsidP="00DC6A45">
      <w:pPr>
        <w:spacing w:after="0"/>
      </w:pPr>
    </w:p>
    <w:p w:rsidR="00DC6A45" w:rsidRDefault="00DC6A45" w:rsidP="00DC6A45"/>
    <w:sectPr w:rsidR="00DC6A45" w:rsidSect="0081500F">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1BB" w:rsidRDefault="00B941BB" w:rsidP="0081500F">
      <w:pPr>
        <w:spacing w:after="0"/>
      </w:pPr>
      <w:r>
        <w:separator/>
      </w:r>
    </w:p>
  </w:endnote>
  <w:endnote w:type="continuationSeparator" w:id="0">
    <w:p w:rsidR="00B941BB" w:rsidRDefault="00B941BB" w:rsidP="008150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21" w:rsidRDefault="00041702">
    <w:pPr>
      <w:pStyle w:val="Pieddepage"/>
    </w:pPr>
    <w:r>
      <w:rPr>
        <w:noProof/>
        <w:lang w:eastAsia="fr-FR"/>
      </w:rPr>
      <w:drawing>
        <wp:inline distT="0" distB="0" distL="0" distR="0">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1BB" w:rsidRDefault="00B941BB" w:rsidP="0081500F">
      <w:pPr>
        <w:spacing w:after="0"/>
      </w:pPr>
      <w:r>
        <w:separator/>
      </w:r>
    </w:p>
  </w:footnote>
  <w:footnote w:type="continuationSeparator" w:id="0">
    <w:p w:rsidR="00B941BB" w:rsidRDefault="00B941BB" w:rsidP="008150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7400" cy="636410"/>
                  </a:xfrm>
                  <a:prstGeom prst="rect">
                    <a:avLst/>
                  </a:prstGeom>
                </pic:spPr>
              </pic:pic>
            </a:graphicData>
          </a:graphic>
        </wp:anchor>
      </w:drawing>
    </w:r>
    <w:r w:rsidR="0081500F">
      <w:rPr>
        <w:noProof/>
        <w:lang w:eastAsia="fr-FR"/>
      </w:rPr>
      <w:drawing>
        <wp:anchor distT="0" distB="0" distL="114300" distR="114300" simplePos="0" relativeHeight="251659264" behindDoc="0" locked="0" layoutInCell="0" allowOverlap="1">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anchor>
      </w:drawing>
    </w:r>
    <w:r w:rsidR="009F5870">
      <w:t>Date : ………………</w:t>
    </w:r>
    <w:r w:rsidR="00B01CF1">
      <w:t> ;  Collège</w:t>
    </w:r>
    <w:r w:rsidR="009F5870">
      <w:t> : ………………………..</w:t>
    </w:r>
    <w:r w:rsidR="00B01CF1">
      <w:t xml:space="preserve"> </w:t>
    </w:r>
    <w:r w:rsidR="0081500F">
      <w:rPr>
        <w:noProof/>
      </w:rPr>
      <w:t>; Pseudo : ………………….</w:t>
    </w:r>
  </w:p>
  <w:p w:rsidR="0081500F" w:rsidRDefault="0081500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4FEB"/>
    <w:multiLevelType w:val="hybridMultilevel"/>
    <w:tmpl w:val="78B666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A730587"/>
    <w:multiLevelType w:val="hybridMultilevel"/>
    <w:tmpl w:val="F0266BB2"/>
    <w:lvl w:ilvl="0" w:tplc="0204A3C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0B3858"/>
    <w:multiLevelType w:val="hybridMultilevel"/>
    <w:tmpl w:val="0044A400"/>
    <w:lvl w:ilvl="0" w:tplc="5C385E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42B5A62"/>
    <w:multiLevelType w:val="hybridMultilevel"/>
    <w:tmpl w:val="970072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3D0CA0"/>
    <w:multiLevelType w:val="hybridMultilevel"/>
    <w:tmpl w:val="45D2F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D10168"/>
    <w:multiLevelType w:val="hybridMultilevel"/>
    <w:tmpl w:val="378C7352"/>
    <w:lvl w:ilvl="0" w:tplc="A16E8F52">
      <w:start w:val="1"/>
      <w:numFmt w:val="bullet"/>
      <w:lvlText w:val="-"/>
      <w:lvlJc w:val="left"/>
      <w:pPr>
        <w:tabs>
          <w:tab w:val="num" w:pos="720"/>
        </w:tabs>
        <w:ind w:left="720" w:hanging="360"/>
      </w:pPr>
      <w:rPr>
        <w:rFonts w:ascii="Times New Roman" w:hAnsi="Times New Roman" w:hint="default"/>
      </w:rPr>
    </w:lvl>
    <w:lvl w:ilvl="1" w:tplc="CEF8B6EE" w:tentative="1">
      <w:start w:val="1"/>
      <w:numFmt w:val="bullet"/>
      <w:lvlText w:val="-"/>
      <w:lvlJc w:val="left"/>
      <w:pPr>
        <w:tabs>
          <w:tab w:val="num" w:pos="1440"/>
        </w:tabs>
        <w:ind w:left="1440" w:hanging="360"/>
      </w:pPr>
      <w:rPr>
        <w:rFonts w:ascii="Times New Roman" w:hAnsi="Times New Roman" w:hint="default"/>
      </w:rPr>
    </w:lvl>
    <w:lvl w:ilvl="2" w:tplc="68E480C6" w:tentative="1">
      <w:start w:val="1"/>
      <w:numFmt w:val="bullet"/>
      <w:lvlText w:val="-"/>
      <w:lvlJc w:val="left"/>
      <w:pPr>
        <w:tabs>
          <w:tab w:val="num" w:pos="2160"/>
        </w:tabs>
        <w:ind w:left="2160" w:hanging="360"/>
      </w:pPr>
      <w:rPr>
        <w:rFonts w:ascii="Times New Roman" w:hAnsi="Times New Roman" w:hint="default"/>
      </w:rPr>
    </w:lvl>
    <w:lvl w:ilvl="3" w:tplc="A282C0B8" w:tentative="1">
      <w:start w:val="1"/>
      <w:numFmt w:val="bullet"/>
      <w:lvlText w:val="-"/>
      <w:lvlJc w:val="left"/>
      <w:pPr>
        <w:tabs>
          <w:tab w:val="num" w:pos="2880"/>
        </w:tabs>
        <w:ind w:left="2880" w:hanging="360"/>
      </w:pPr>
      <w:rPr>
        <w:rFonts w:ascii="Times New Roman" w:hAnsi="Times New Roman" w:hint="default"/>
      </w:rPr>
    </w:lvl>
    <w:lvl w:ilvl="4" w:tplc="FDBA911A" w:tentative="1">
      <w:start w:val="1"/>
      <w:numFmt w:val="bullet"/>
      <w:lvlText w:val="-"/>
      <w:lvlJc w:val="left"/>
      <w:pPr>
        <w:tabs>
          <w:tab w:val="num" w:pos="3600"/>
        </w:tabs>
        <w:ind w:left="3600" w:hanging="360"/>
      </w:pPr>
      <w:rPr>
        <w:rFonts w:ascii="Times New Roman" w:hAnsi="Times New Roman" w:hint="default"/>
      </w:rPr>
    </w:lvl>
    <w:lvl w:ilvl="5" w:tplc="F9B4085C" w:tentative="1">
      <w:start w:val="1"/>
      <w:numFmt w:val="bullet"/>
      <w:lvlText w:val="-"/>
      <w:lvlJc w:val="left"/>
      <w:pPr>
        <w:tabs>
          <w:tab w:val="num" w:pos="4320"/>
        </w:tabs>
        <w:ind w:left="4320" w:hanging="360"/>
      </w:pPr>
      <w:rPr>
        <w:rFonts w:ascii="Times New Roman" w:hAnsi="Times New Roman" w:hint="default"/>
      </w:rPr>
    </w:lvl>
    <w:lvl w:ilvl="6" w:tplc="19AC5B5A" w:tentative="1">
      <w:start w:val="1"/>
      <w:numFmt w:val="bullet"/>
      <w:lvlText w:val="-"/>
      <w:lvlJc w:val="left"/>
      <w:pPr>
        <w:tabs>
          <w:tab w:val="num" w:pos="5040"/>
        </w:tabs>
        <w:ind w:left="5040" w:hanging="360"/>
      </w:pPr>
      <w:rPr>
        <w:rFonts w:ascii="Times New Roman" w:hAnsi="Times New Roman" w:hint="default"/>
      </w:rPr>
    </w:lvl>
    <w:lvl w:ilvl="7" w:tplc="FE5C945C" w:tentative="1">
      <w:start w:val="1"/>
      <w:numFmt w:val="bullet"/>
      <w:lvlText w:val="-"/>
      <w:lvlJc w:val="left"/>
      <w:pPr>
        <w:tabs>
          <w:tab w:val="num" w:pos="5760"/>
        </w:tabs>
        <w:ind w:left="5760" w:hanging="360"/>
      </w:pPr>
      <w:rPr>
        <w:rFonts w:ascii="Times New Roman" w:hAnsi="Times New Roman" w:hint="default"/>
      </w:rPr>
    </w:lvl>
    <w:lvl w:ilvl="8" w:tplc="F732F9D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6227BC8"/>
    <w:multiLevelType w:val="hybridMultilevel"/>
    <w:tmpl w:val="604EFC6C"/>
    <w:lvl w:ilvl="0" w:tplc="EE02866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3CDF035B"/>
    <w:multiLevelType w:val="hybridMultilevel"/>
    <w:tmpl w:val="D6C4B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AB67D6"/>
    <w:multiLevelType w:val="hybridMultilevel"/>
    <w:tmpl w:val="C12C5B72"/>
    <w:lvl w:ilvl="0" w:tplc="51AC9AA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465D1B"/>
    <w:multiLevelType w:val="hybridMultilevel"/>
    <w:tmpl w:val="36FCB6F8"/>
    <w:lvl w:ilvl="0" w:tplc="C72ED0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517763"/>
    <w:multiLevelType w:val="hybridMultilevel"/>
    <w:tmpl w:val="7B90D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1A2F93"/>
    <w:multiLevelType w:val="multilevel"/>
    <w:tmpl w:val="A6A0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4"/>
  </w:num>
  <w:num w:numId="10">
    <w:abstractNumId w:val="11"/>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1500F"/>
    <w:rsid w:val="00026413"/>
    <w:rsid w:val="00041702"/>
    <w:rsid w:val="0008702F"/>
    <w:rsid w:val="000A0BB4"/>
    <w:rsid w:val="000B569A"/>
    <w:rsid w:val="00106821"/>
    <w:rsid w:val="00165D33"/>
    <w:rsid w:val="001B42AA"/>
    <w:rsid w:val="002034F1"/>
    <w:rsid w:val="00247FA8"/>
    <w:rsid w:val="00292B9A"/>
    <w:rsid w:val="002C2301"/>
    <w:rsid w:val="0030115E"/>
    <w:rsid w:val="00391D2C"/>
    <w:rsid w:val="003A44BB"/>
    <w:rsid w:val="003A521B"/>
    <w:rsid w:val="003B7BB8"/>
    <w:rsid w:val="003C17F1"/>
    <w:rsid w:val="00412EB9"/>
    <w:rsid w:val="00417FEF"/>
    <w:rsid w:val="00451824"/>
    <w:rsid w:val="004530B2"/>
    <w:rsid w:val="00470621"/>
    <w:rsid w:val="004C0539"/>
    <w:rsid w:val="004F186A"/>
    <w:rsid w:val="006267AE"/>
    <w:rsid w:val="00637751"/>
    <w:rsid w:val="00670DE3"/>
    <w:rsid w:val="006E5766"/>
    <w:rsid w:val="00715D6D"/>
    <w:rsid w:val="00794437"/>
    <w:rsid w:val="007945E4"/>
    <w:rsid w:val="007D5857"/>
    <w:rsid w:val="00814AF4"/>
    <w:rsid w:val="0081500F"/>
    <w:rsid w:val="00816A32"/>
    <w:rsid w:val="008310AA"/>
    <w:rsid w:val="00891048"/>
    <w:rsid w:val="008B1CA2"/>
    <w:rsid w:val="008B2336"/>
    <w:rsid w:val="008E3399"/>
    <w:rsid w:val="009050A2"/>
    <w:rsid w:val="00920BD1"/>
    <w:rsid w:val="009348EE"/>
    <w:rsid w:val="00941AA8"/>
    <w:rsid w:val="009E7650"/>
    <w:rsid w:val="009F5870"/>
    <w:rsid w:val="00A45170"/>
    <w:rsid w:val="00A55C68"/>
    <w:rsid w:val="00A928FB"/>
    <w:rsid w:val="00B01CF1"/>
    <w:rsid w:val="00B02246"/>
    <w:rsid w:val="00B174E4"/>
    <w:rsid w:val="00B248A9"/>
    <w:rsid w:val="00B37C90"/>
    <w:rsid w:val="00B44E0E"/>
    <w:rsid w:val="00B941BB"/>
    <w:rsid w:val="00BB6433"/>
    <w:rsid w:val="00BC31E0"/>
    <w:rsid w:val="00C13F90"/>
    <w:rsid w:val="00C73CA1"/>
    <w:rsid w:val="00C8069B"/>
    <w:rsid w:val="00CA4758"/>
    <w:rsid w:val="00CE44D2"/>
    <w:rsid w:val="00D44D93"/>
    <w:rsid w:val="00DC5353"/>
    <w:rsid w:val="00DC6A45"/>
    <w:rsid w:val="00E11B08"/>
    <w:rsid w:val="00E73CDE"/>
    <w:rsid w:val="00E80EF8"/>
    <w:rsid w:val="00EA5A5B"/>
    <w:rsid w:val="00EB7420"/>
    <w:rsid w:val="00ED546F"/>
    <w:rsid w:val="00F6440A"/>
    <w:rsid w:val="00F75200"/>
    <w:rsid w:val="00FB01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Connecteur droit avec flèche 16"/>
        <o:r id="V:Rule2" type="connector" idref="#Connecteur droit avec flèche 17"/>
        <o:r id="V:Rule3" type="connector" idref="#Connecteur droit avec flèche 11"/>
        <o:r id="V:Rule4" type="connector" idref="#Connecteur droit avec flèche 19"/>
        <o:r id="V:Rule5" type="callout" idref="#Légende encadrée avec une bordure 2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DC6A45"/>
    <w:pPr>
      <w:spacing w:after="480" w:line="360" w:lineRule="auto"/>
      <w:contextualSpacing/>
      <w:jc w:val="left"/>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DC6A45"/>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8690775">
      <w:bodyDiv w:val="1"/>
      <w:marLeft w:val="0"/>
      <w:marRight w:val="0"/>
      <w:marTop w:val="0"/>
      <w:marBottom w:val="0"/>
      <w:divBdr>
        <w:top w:val="none" w:sz="0" w:space="0" w:color="auto"/>
        <w:left w:val="none" w:sz="0" w:space="0" w:color="auto"/>
        <w:bottom w:val="none" w:sz="0" w:space="0" w:color="auto"/>
        <w:right w:val="none" w:sz="0" w:space="0" w:color="auto"/>
      </w:divBdr>
      <w:divsChild>
        <w:div w:id="1340155992">
          <w:marLeft w:val="446"/>
          <w:marRight w:val="0"/>
          <w:marTop w:val="0"/>
          <w:marBottom w:val="0"/>
          <w:divBdr>
            <w:top w:val="none" w:sz="0" w:space="0" w:color="auto"/>
            <w:left w:val="none" w:sz="0" w:space="0" w:color="auto"/>
            <w:bottom w:val="none" w:sz="0" w:space="0" w:color="auto"/>
            <w:right w:val="none" w:sz="0" w:space="0" w:color="auto"/>
          </w:divBdr>
        </w:div>
        <w:div w:id="671836345">
          <w:marLeft w:val="446"/>
          <w:marRight w:val="0"/>
          <w:marTop w:val="0"/>
          <w:marBottom w:val="0"/>
          <w:divBdr>
            <w:top w:val="none" w:sz="0" w:space="0" w:color="auto"/>
            <w:left w:val="none" w:sz="0" w:space="0" w:color="auto"/>
            <w:bottom w:val="none" w:sz="0" w:space="0" w:color="auto"/>
            <w:right w:val="none" w:sz="0" w:space="0" w:color="auto"/>
          </w:divBdr>
        </w:div>
        <w:div w:id="1710255980">
          <w:marLeft w:val="446"/>
          <w:marRight w:val="0"/>
          <w:marTop w:val="0"/>
          <w:marBottom w:val="0"/>
          <w:divBdr>
            <w:top w:val="none" w:sz="0" w:space="0" w:color="auto"/>
            <w:left w:val="none" w:sz="0" w:space="0" w:color="auto"/>
            <w:bottom w:val="none" w:sz="0" w:space="0" w:color="auto"/>
            <w:right w:val="none" w:sz="0" w:space="0" w:color="auto"/>
          </w:divBdr>
        </w:div>
        <w:div w:id="689067743">
          <w:marLeft w:val="446"/>
          <w:marRight w:val="0"/>
          <w:marTop w:val="0"/>
          <w:marBottom w:val="0"/>
          <w:divBdr>
            <w:top w:val="none" w:sz="0" w:space="0" w:color="auto"/>
            <w:left w:val="none" w:sz="0" w:space="0" w:color="auto"/>
            <w:bottom w:val="none" w:sz="0" w:space="0" w:color="auto"/>
            <w:right w:val="none" w:sz="0" w:space="0" w:color="auto"/>
          </w:divBdr>
        </w:div>
        <w:div w:id="5452181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vikidia.org/wiki/Vie_des_paysans_au_Moyen_%C3%82g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7052</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admin.profil</cp:lastModifiedBy>
  <cp:revision>2</cp:revision>
  <cp:lastPrinted>2018-03-25T14:35:00Z</cp:lastPrinted>
  <dcterms:created xsi:type="dcterms:W3CDTF">2019-01-15T09:04:00Z</dcterms:created>
  <dcterms:modified xsi:type="dcterms:W3CDTF">2019-01-15T09:04:00Z</dcterms:modified>
</cp:coreProperties>
</file>